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23D" w:rsidRPr="009749DB" w:rsidRDefault="00BB6205" w:rsidP="00E66045">
      <w:pPr>
        <w:spacing w:after="0" w:line="240" w:lineRule="auto"/>
      </w:pPr>
      <w:r w:rsidRPr="009749DB">
        <w:rPr>
          <w:b/>
          <w:u w:val="single"/>
        </w:rPr>
        <w:t xml:space="preserve">Chemical Registration </w:t>
      </w:r>
      <w:r w:rsidR="00E66045" w:rsidRPr="009749DB">
        <w:rPr>
          <w:b/>
          <w:u w:val="single"/>
        </w:rPr>
        <w:t>System</w:t>
      </w:r>
      <w:r w:rsidR="006E77D3" w:rsidRPr="009749DB">
        <w:rPr>
          <w:b/>
          <w:u w:val="single"/>
        </w:rPr>
        <w:t xml:space="preserve"> (On-line)</w:t>
      </w:r>
      <w:r w:rsidR="006E77D3" w:rsidRPr="009749DB">
        <w:tab/>
      </w:r>
      <w:r w:rsidR="006E77D3" w:rsidRPr="009749DB">
        <w:tab/>
      </w:r>
      <w:r w:rsidR="006E77D3" w:rsidRPr="009749DB">
        <w:tab/>
      </w:r>
      <w:r w:rsidR="006E77D3" w:rsidRPr="009749DB">
        <w:tab/>
      </w:r>
      <w:r w:rsidR="006E77D3" w:rsidRPr="009749DB">
        <w:tab/>
      </w:r>
      <w:r w:rsidRPr="009749DB">
        <w:t xml:space="preserve"> </w:t>
      </w:r>
    </w:p>
    <w:p w:rsidR="00E66045" w:rsidRPr="009749DB" w:rsidRDefault="00E66045" w:rsidP="00E66045">
      <w:pPr>
        <w:spacing w:after="0" w:line="240" w:lineRule="auto"/>
      </w:pPr>
    </w:p>
    <w:p w:rsidR="00E66045" w:rsidRPr="009749DB" w:rsidRDefault="00E66045" w:rsidP="00A772C8">
      <w:pPr>
        <w:spacing w:after="0" w:line="240" w:lineRule="auto"/>
      </w:pPr>
      <w:r w:rsidRPr="009749DB">
        <w:t xml:space="preserve">University personnel using hazardous materials in their research and/or teaching laboratories, must </w:t>
      </w:r>
      <w:r w:rsidR="00BB6205" w:rsidRPr="009749DB">
        <w:t>register these materials via the new system</w:t>
      </w:r>
      <w:r w:rsidRPr="009749DB">
        <w:t xml:space="preserve">.  This policy resulted from negotiations with the State Fire Marshall related to chemical use and storage, and concerns raised by accidents at other universities as well as the Federal Bureau of Investigation. This </w:t>
      </w:r>
      <w:hyperlink r:id="rId8" w:history="1">
        <w:r w:rsidRPr="009749DB">
          <w:rPr>
            <w:rStyle w:val="Hyperlink"/>
          </w:rPr>
          <w:t>registration process</w:t>
        </w:r>
      </w:hyperlink>
      <w:r w:rsidRPr="009749DB">
        <w:t xml:space="preserve"> has been vetted through the University Environmental Health and Safety Committee as well as the Chemical Safety and Hazardous Materials Management Committee, and the Occupational Health and Safety Committee.</w:t>
      </w:r>
    </w:p>
    <w:p w:rsidR="006E77D3" w:rsidRPr="009749DB" w:rsidRDefault="006E77D3" w:rsidP="00E66045">
      <w:pPr>
        <w:spacing w:after="0" w:line="240" w:lineRule="auto"/>
      </w:pPr>
    </w:p>
    <w:p w:rsidR="006E77D3" w:rsidRPr="009749DB" w:rsidRDefault="006E77D3" w:rsidP="00BB6205">
      <w:pPr>
        <w:pStyle w:val="ListParagraph"/>
        <w:numPr>
          <w:ilvl w:val="0"/>
          <w:numId w:val="2"/>
        </w:numPr>
        <w:spacing w:after="0" w:line="240" w:lineRule="auto"/>
      </w:pPr>
      <w:r w:rsidRPr="009749DB">
        <w:t xml:space="preserve">Location: </w:t>
      </w:r>
      <w:hyperlink r:id="rId9" w:history="1">
        <w:r w:rsidRPr="009749DB">
          <w:rPr>
            <w:rStyle w:val="Hyperlink"/>
          </w:rPr>
          <w:t>https://secure.hosting.vt.edu/www.ehss.vt.edu/programs/</w:t>
        </w:r>
        <w:r w:rsidR="004C26C4">
          <w:rPr>
            <w:rStyle w:val="Hyperlink"/>
          </w:rPr>
          <w:t>LMS</w:t>
        </w:r>
        <w:bookmarkStart w:id="0" w:name="_GoBack"/>
        <w:bookmarkEnd w:id="0"/>
        <w:r w:rsidRPr="009749DB">
          <w:rPr>
            <w:rStyle w:val="Hyperlink"/>
          </w:rPr>
          <w:t>/inventory_entry.php</w:t>
        </w:r>
      </w:hyperlink>
    </w:p>
    <w:p w:rsidR="009749DB" w:rsidRDefault="006E77D3" w:rsidP="009749DB">
      <w:pPr>
        <w:pStyle w:val="ListParagraph"/>
        <w:numPr>
          <w:ilvl w:val="0"/>
          <w:numId w:val="2"/>
        </w:numPr>
        <w:spacing w:after="0" w:line="240" w:lineRule="auto"/>
      </w:pPr>
      <w:r w:rsidRPr="009749DB">
        <w:t xml:space="preserve">This system will </w:t>
      </w:r>
      <w:r w:rsidR="00BB6205" w:rsidRPr="009749DB">
        <w:t xml:space="preserve">assist in determining </w:t>
      </w:r>
      <w:r w:rsidR="003C4A14" w:rsidRPr="005C4688">
        <w:t>that</w:t>
      </w:r>
      <w:r w:rsidR="003C4A14" w:rsidRPr="005C4688">
        <w:rPr>
          <w:sz w:val="24"/>
        </w:rPr>
        <w:t xml:space="preserve"> </w:t>
      </w:r>
      <w:r w:rsidR="00BB6205" w:rsidRPr="009749DB">
        <w:t xml:space="preserve">the quantity of chemicals in a building does not exceed </w:t>
      </w:r>
      <w:hyperlink r:id="rId10" w:history="1">
        <w:r w:rsidR="00BB6205" w:rsidRPr="009749DB">
          <w:rPr>
            <w:rStyle w:val="Hyperlink"/>
            <w:color w:val="auto"/>
          </w:rPr>
          <w:t>allowable limits imposed by the Fire Code</w:t>
        </w:r>
      </w:hyperlink>
      <w:r w:rsidRPr="009749DB">
        <w:t xml:space="preserve"> for each hazard class of chemical (e.g., corrosive, flammable, toxic, etc.)</w:t>
      </w:r>
      <w:r w:rsidR="00BB6205" w:rsidRPr="009749DB">
        <w:t xml:space="preserve">.  </w:t>
      </w:r>
    </w:p>
    <w:p w:rsidR="006E77D3" w:rsidRDefault="006E77D3" w:rsidP="009749DB">
      <w:pPr>
        <w:pStyle w:val="ListParagraph"/>
        <w:numPr>
          <w:ilvl w:val="0"/>
          <w:numId w:val="2"/>
        </w:numPr>
        <w:spacing w:after="0" w:line="240" w:lineRule="auto"/>
      </w:pPr>
      <w:r w:rsidRPr="009749DB">
        <w:t xml:space="preserve">Emergency responders will have access to this information when responding to emergencies. </w:t>
      </w:r>
    </w:p>
    <w:p w:rsidR="006E77D3" w:rsidRPr="009749DB" w:rsidRDefault="009749DB" w:rsidP="00FA350C">
      <w:pPr>
        <w:pStyle w:val="ListParagraph"/>
        <w:numPr>
          <w:ilvl w:val="0"/>
          <w:numId w:val="4"/>
        </w:numPr>
        <w:spacing w:after="0" w:line="240" w:lineRule="auto"/>
      </w:pPr>
      <w:r>
        <w:t>W</w:t>
      </w:r>
      <w:r w:rsidR="006E77D3" w:rsidRPr="009749DB">
        <w:t xml:space="preserve">e need to know the </w:t>
      </w:r>
      <w:r w:rsidR="003C4A14" w:rsidRPr="005C4688">
        <w:t>maximum</w:t>
      </w:r>
      <w:r w:rsidR="003C4A14">
        <w:t xml:space="preserve"> </w:t>
      </w:r>
      <w:r w:rsidR="006E77D3" w:rsidRPr="00FA350C">
        <w:rPr>
          <w:u w:val="single"/>
        </w:rPr>
        <w:t>quantities of certain chemicals located in each room</w:t>
      </w:r>
      <w:r w:rsidR="006E77D3" w:rsidRPr="009749DB">
        <w:t xml:space="preserve">. </w:t>
      </w:r>
      <w:r w:rsidR="007078E7" w:rsidRPr="009749DB">
        <w:t>Each room = a lab but you do not have to separately enter rooms within rooms.</w:t>
      </w:r>
      <w:r>
        <w:t xml:space="preserve">  </w:t>
      </w:r>
      <w:r w:rsidR="003C4A14" w:rsidRPr="005C4688">
        <w:t>Ask yourself:</w:t>
      </w:r>
      <w:r w:rsidR="003C4A14">
        <w:t xml:space="preserve">  </w:t>
      </w:r>
      <w:r w:rsidR="006E77D3" w:rsidRPr="009749DB">
        <w:t>W</w:t>
      </w:r>
      <w:r w:rsidR="00E66045" w:rsidRPr="009749DB">
        <w:t>h</w:t>
      </w:r>
      <w:r w:rsidR="006E77D3" w:rsidRPr="009749DB">
        <w:t>at is the maximum amount of a particular</w:t>
      </w:r>
      <w:r w:rsidR="00E66045" w:rsidRPr="009749DB">
        <w:t xml:space="preserve"> chemical you think you’ll have</w:t>
      </w:r>
      <w:r w:rsidR="006E77D3" w:rsidRPr="009749DB">
        <w:t>, on any one day</w:t>
      </w:r>
      <w:r w:rsidR="007B592D" w:rsidRPr="009749DB">
        <w:t>,</w:t>
      </w:r>
      <w:r w:rsidR="00FA350C">
        <w:t xml:space="preserve"> </w:t>
      </w:r>
      <w:r w:rsidR="006E77D3" w:rsidRPr="009749DB">
        <w:t>during the course of the year?</w:t>
      </w:r>
    </w:p>
    <w:p w:rsidR="007078E7" w:rsidRPr="009749DB" w:rsidRDefault="00886B1E" w:rsidP="00A772C8">
      <w:pPr>
        <w:pStyle w:val="ListParagraph"/>
        <w:numPr>
          <w:ilvl w:val="0"/>
          <w:numId w:val="2"/>
        </w:numPr>
        <w:spacing w:after="0" w:line="240" w:lineRule="auto"/>
      </w:pPr>
      <w:r w:rsidRPr="009749DB">
        <w:t xml:space="preserve">This is </w:t>
      </w:r>
      <w:r w:rsidRPr="009749DB">
        <w:rPr>
          <w:b/>
          <w:i/>
        </w:rPr>
        <w:t>not</w:t>
      </w:r>
      <w:r w:rsidRPr="009749DB">
        <w:t xml:space="preserve"> a complete </w:t>
      </w:r>
      <w:r w:rsidR="006E77D3" w:rsidRPr="009749DB">
        <w:t>inventory</w:t>
      </w:r>
      <w:r w:rsidRPr="009749DB">
        <w:t xml:space="preserve"> of all your chemicals</w:t>
      </w:r>
      <w:r w:rsidR="009749DB" w:rsidRPr="009749DB">
        <w:t>.  W</w:t>
      </w:r>
      <w:r w:rsidR="006E77D3" w:rsidRPr="009749DB">
        <w:t xml:space="preserve">e do not expect you to provide exact amounts for each </w:t>
      </w:r>
      <w:r w:rsidR="009749DB" w:rsidRPr="009749DB">
        <w:t xml:space="preserve">chemical listed in this system, but rather maximum quantities or volumes </w:t>
      </w:r>
      <w:r w:rsidR="009749DB">
        <w:t xml:space="preserve">on any one day </w:t>
      </w:r>
      <w:r w:rsidR="009749DB" w:rsidRPr="009749DB">
        <w:t xml:space="preserve">throughout the year.  </w:t>
      </w:r>
    </w:p>
    <w:p w:rsidR="007B592D" w:rsidRPr="009749DB" w:rsidRDefault="00A64091" w:rsidP="009749DB">
      <w:pPr>
        <w:pStyle w:val="ListParagraph"/>
        <w:numPr>
          <w:ilvl w:val="0"/>
          <w:numId w:val="2"/>
        </w:numPr>
        <w:spacing w:after="0" w:line="240" w:lineRule="auto"/>
      </w:pPr>
      <w:r>
        <w:t xml:space="preserve">If you have </w:t>
      </w:r>
      <w:r w:rsidR="007B592D" w:rsidRPr="009749DB">
        <w:t>chemical</w:t>
      </w:r>
      <w:r>
        <w:t>s n</w:t>
      </w:r>
      <w:r w:rsidR="007B592D" w:rsidRPr="009749DB">
        <w:t>ot listed</w:t>
      </w:r>
      <w:r w:rsidR="007078E7" w:rsidRPr="009749DB">
        <w:t xml:space="preserve"> in one of the pre-loaded categories</w:t>
      </w:r>
      <w:r>
        <w:t>,</w:t>
      </w:r>
      <w:r w:rsidR="007078E7" w:rsidRPr="009749DB">
        <w:t xml:space="preserve"> you can provide an aggregate quantity and appropriate unit of measure for </w:t>
      </w:r>
      <w:r>
        <w:t xml:space="preserve">any other materials in a </w:t>
      </w:r>
      <w:r w:rsidR="007078E7" w:rsidRPr="009749DB">
        <w:t xml:space="preserve">hazard group in </w:t>
      </w:r>
      <w:r>
        <w:t xml:space="preserve">the room.  </w:t>
      </w:r>
      <w:r w:rsidR="007078E7" w:rsidRPr="009749DB">
        <w:t>This will go in the “Other” field at the bottom of each hazard class section.</w:t>
      </w:r>
    </w:p>
    <w:p w:rsidR="007078E7" w:rsidRPr="009749DB" w:rsidRDefault="00E66045" w:rsidP="007078E7">
      <w:pPr>
        <w:pStyle w:val="ListParagraph"/>
        <w:numPr>
          <w:ilvl w:val="0"/>
          <w:numId w:val="2"/>
        </w:numPr>
      </w:pPr>
      <w:r w:rsidRPr="009749DB">
        <w:t xml:space="preserve">EHS </w:t>
      </w:r>
      <w:r w:rsidR="00FA350C">
        <w:t xml:space="preserve">will review building data for verifying compliance.  </w:t>
      </w:r>
    </w:p>
    <w:p w:rsidR="00A772C8" w:rsidRDefault="00A772C8" w:rsidP="00A772C8">
      <w:pPr>
        <w:pStyle w:val="ListParagraph"/>
      </w:pPr>
    </w:p>
    <w:p w:rsidR="00A772C8" w:rsidRDefault="00A772C8" w:rsidP="00A772C8">
      <w:pPr>
        <w:ind w:left="360"/>
      </w:pPr>
    </w:p>
    <w:p w:rsidR="00A772C8" w:rsidRDefault="00A772C8">
      <w:r>
        <w:br w:type="page"/>
      </w:r>
    </w:p>
    <w:p w:rsidR="00A772C8" w:rsidRPr="005C4688" w:rsidRDefault="00A772C8" w:rsidP="00A772C8">
      <w:pPr>
        <w:rPr>
          <w:b/>
          <w:u w:val="single"/>
        </w:rPr>
      </w:pPr>
      <w:r w:rsidRPr="005C4688">
        <w:rPr>
          <w:b/>
          <w:u w:val="single"/>
        </w:rPr>
        <w:lastRenderedPageBreak/>
        <w:t>Questions related to the Chemical Registration process</w:t>
      </w:r>
    </w:p>
    <w:p w:rsidR="00A772C8" w:rsidRPr="00A64091" w:rsidRDefault="00A772C8" w:rsidP="00A772C8">
      <w:pPr>
        <w:pStyle w:val="ListParagraph"/>
        <w:numPr>
          <w:ilvl w:val="0"/>
          <w:numId w:val="1"/>
        </w:numPr>
        <w:spacing w:after="0" w:line="240" w:lineRule="auto"/>
      </w:pPr>
      <w:r w:rsidRPr="00A64091">
        <w:t>When should registrations be completed?</w:t>
      </w:r>
    </w:p>
    <w:p w:rsidR="00A772C8" w:rsidRPr="00A64091" w:rsidRDefault="00A772C8" w:rsidP="00A772C8">
      <w:pPr>
        <w:spacing w:after="0" w:line="240" w:lineRule="auto"/>
        <w:ind w:left="1080" w:hanging="720"/>
      </w:pPr>
      <w:r w:rsidRPr="00A64091">
        <w:tab/>
        <w:t>By December 12, 2013</w:t>
      </w:r>
    </w:p>
    <w:p w:rsidR="00A772C8" w:rsidRPr="00A64091" w:rsidRDefault="00A772C8" w:rsidP="00A772C8">
      <w:pPr>
        <w:pStyle w:val="ListParagraph"/>
        <w:numPr>
          <w:ilvl w:val="0"/>
          <w:numId w:val="1"/>
        </w:numPr>
        <w:spacing w:after="0" w:line="240" w:lineRule="auto"/>
      </w:pPr>
      <w:r w:rsidRPr="00A64091">
        <w:t>How do I begin?</w:t>
      </w:r>
    </w:p>
    <w:p w:rsidR="00A772C8" w:rsidRPr="00A64091" w:rsidRDefault="00A772C8" w:rsidP="00A772C8">
      <w:pPr>
        <w:spacing w:after="0" w:line="240" w:lineRule="auto"/>
        <w:ind w:left="1080" w:hanging="720"/>
      </w:pPr>
      <w:r w:rsidRPr="00A64091">
        <w:tab/>
        <w:t xml:space="preserve">Access the registration form through CAS sign in and click on “Add </w:t>
      </w:r>
      <w:proofErr w:type="gramStart"/>
      <w:r w:rsidRPr="00A64091">
        <w:t>A</w:t>
      </w:r>
      <w:proofErr w:type="gramEnd"/>
      <w:r w:rsidRPr="00A64091">
        <w:t xml:space="preserve"> New Lab”.  Complete the registration form that follows.  </w:t>
      </w:r>
      <w:r w:rsidR="00A64091" w:rsidRPr="00A64091">
        <w:t xml:space="preserve">Additional instructions can be found </w:t>
      </w:r>
      <w:hyperlink r:id="rId11" w:history="1">
        <w:r w:rsidR="00A64091" w:rsidRPr="00A64091">
          <w:rPr>
            <w:rStyle w:val="Hyperlink"/>
          </w:rPr>
          <w:t>here</w:t>
        </w:r>
      </w:hyperlink>
      <w:r w:rsidR="00A64091" w:rsidRPr="00A64091">
        <w:t xml:space="preserve">.  </w:t>
      </w:r>
      <w:r w:rsidRPr="00A64091">
        <w:t xml:space="preserve">  </w:t>
      </w:r>
    </w:p>
    <w:p w:rsidR="00A772C8" w:rsidRPr="00A64091" w:rsidRDefault="00A772C8" w:rsidP="00A772C8">
      <w:pPr>
        <w:pStyle w:val="ListParagraph"/>
        <w:numPr>
          <w:ilvl w:val="0"/>
          <w:numId w:val="1"/>
        </w:numPr>
        <w:spacing w:after="0" w:line="240" w:lineRule="auto"/>
      </w:pPr>
      <w:r w:rsidRPr="00A64091">
        <w:t>Do I need to add all chemicals I may have currently that are not specifically listed in each category on the form?</w:t>
      </w:r>
    </w:p>
    <w:p w:rsidR="00A772C8" w:rsidRPr="00A64091" w:rsidRDefault="00A772C8" w:rsidP="00A772C8">
      <w:pPr>
        <w:spacing w:after="0" w:line="240" w:lineRule="auto"/>
        <w:ind w:left="1080"/>
      </w:pPr>
      <w:r w:rsidRPr="00A64091">
        <w:t>Initially, EHS is asking par</w:t>
      </w:r>
      <w:r w:rsidR="001F3FEB">
        <w:t xml:space="preserve">ticipants to register the </w:t>
      </w:r>
      <w:r w:rsidR="003C4A14" w:rsidRPr="005C4688">
        <w:t xml:space="preserve">maximum </w:t>
      </w:r>
      <w:r w:rsidR="001F3FEB" w:rsidRPr="005C4688">
        <w:t>amount of the specific</w:t>
      </w:r>
      <w:r w:rsidRPr="00A64091">
        <w:t xml:space="preserve"> chemicals listed for each category or grouping.  Any other </w:t>
      </w:r>
      <w:r w:rsidR="001F3FEB" w:rsidRPr="005C4688">
        <w:t>chemicals /</w:t>
      </w:r>
      <w:r w:rsidRPr="00A64091">
        <w:t xml:space="preserve">materials in your lab space, that are part of a particular category but not listed in the pre-loaded form, should be reported as one aggregate quantity / amount in the space for “If you have any other (category) not listed above, please enter the approximate aggregate quantity for those materials here and provide the appropriate unit of measure for those materials (e.g., liters, pounds, etc.)”.  </w:t>
      </w:r>
    </w:p>
    <w:p w:rsidR="00A772C8" w:rsidRPr="00A64091" w:rsidRDefault="00A772C8" w:rsidP="00A772C8">
      <w:pPr>
        <w:pStyle w:val="ListParagraph"/>
        <w:numPr>
          <w:ilvl w:val="0"/>
          <w:numId w:val="1"/>
        </w:numPr>
        <w:spacing w:after="0" w:line="240" w:lineRule="auto"/>
      </w:pPr>
      <w:r w:rsidRPr="00A64091">
        <w:t xml:space="preserve">If the quantity / volume of a particular chemical varies frequently through the course of the year, how should I report my quantity?  </w:t>
      </w:r>
    </w:p>
    <w:p w:rsidR="00A772C8" w:rsidRPr="00A64091" w:rsidRDefault="00A772C8" w:rsidP="00A772C8">
      <w:pPr>
        <w:spacing w:after="0" w:line="240" w:lineRule="auto"/>
        <w:ind w:left="1080" w:hanging="720"/>
      </w:pPr>
      <w:r w:rsidRPr="00A64091">
        <w:tab/>
        <w:t xml:space="preserve">The object is to </w:t>
      </w:r>
      <w:r w:rsidR="00A64091" w:rsidRPr="00A64091">
        <w:t xml:space="preserve">estimate </w:t>
      </w:r>
      <w:r w:rsidRPr="00A64091">
        <w:t xml:space="preserve">the maximum amount of </w:t>
      </w:r>
      <w:r w:rsidR="00A64091" w:rsidRPr="00A64091">
        <w:t xml:space="preserve">materials </w:t>
      </w:r>
      <w:r w:rsidR="001F3FEB" w:rsidRPr="005C4688">
        <w:t>at</w:t>
      </w:r>
      <w:r w:rsidR="001F3FEB">
        <w:t xml:space="preserve"> </w:t>
      </w:r>
      <w:r w:rsidR="00A64091" w:rsidRPr="00A64091">
        <w:t xml:space="preserve">any time throughout the course of a year.  </w:t>
      </w:r>
      <w:r w:rsidRPr="00A64091">
        <w:t xml:space="preserve">Please report the maximum amount you expect to have in the space at any time </w:t>
      </w:r>
      <w:r w:rsidR="00A64091" w:rsidRPr="00A64091">
        <w:t xml:space="preserve">during </w:t>
      </w:r>
      <w:r w:rsidRPr="00A64091">
        <w:t xml:space="preserve">the year.  </w:t>
      </w:r>
    </w:p>
    <w:p w:rsidR="00A772C8" w:rsidRPr="00A64091" w:rsidRDefault="00A772C8" w:rsidP="00A772C8">
      <w:pPr>
        <w:pStyle w:val="ListParagraph"/>
        <w:numPr>
          <w:ilvl w:val="0"/>
          <w:numId w:val="1"/>
        </w:numPr>
        <w:spacing w:after="0" w:line="240" w:lineRule="auto"/>
      </w:pPr>
      <w:r w:rsidRPr="00A64091">
        <w:t xml:space="preserve">Should rooms within a room be registered separately?  </w:t>
      </w:r>
    </w:p>
    <w:p w:rsidR="00A772C8" w:rsidRPr="00A64091" w:rsidRDefault="00A772C8" w:rsidP="00A772C8">
      <w:pPr>
        <w:spacing w:after="0" w:line="240" w:lineRule="auto"/>
        <w:ind w:left="1800" w:hanging="720"/>
      </w:pPr>
      <w:r w:rsidRPr="00A64091">
        <w:t>No</w:t>
      </w:r>
    </w:p>
    <w:p w:rsidR="00A772C8" w:rsidRPr="00A64091" w:rsidRDefault="00A772C8" w:rsidP="00A772C8">
      <w:pPr>
        <w:pStyle w:val="ListParagraph"/>
        <w:numPr>
          <w:ilvl w:val="0"/>
          <w:numId w:val="1"/>
        </w:numPr>
        <w:spacing w:after="0" w:line="240" w:lineRule="auto"/>
      </w:pPr>
      <w:r w:rsidRPr="00A64091">
        <w:t>I have instruments that are connected to solvent reservoirs when in operation.  How do I report these?</w:t>
      </w:r>
    </w:p>
    <w:p w:rsidR="00A772C8" w:rsidRPr="00A64091" w:rsidRDefault="00A772C8" w:rsidP="00A772C8">
      <w:pPr>
        <w:spacing w:after="0" w:line="240" w:lineRule="auto"/>
        <w:ind w:left="1080" w:hanging="720"/>
      </w:pPr>
      <w:r w:rsidRPr="00A64091">
        <w:tab/>
        <w:t xml:space="preserve">Include these volumes in your total for the lab space.  </w:t>
      </w:r>
    </w:p>
    <w:p w:rsidR="00A772C8" w:rsidRPr="00A64091" w:rsidRDefault="00A772C8" w:rsidP="00A772C8">
      <w:pPr>
        <w:pStyle w:val="ListParagraph"/>
        <w:numPr>
          <w:ilvl w:val="0"/>
          <w:numId w:val="1"/>
        </w:numPr>
        <w:spacing w:after="0" w:line="240" w:lineRule="auto"/>
      </w:pPr>
      <w:r w:rsidRPr="00A64091">
        <w:t xml:space="preserve">The online registration form indicates I’m the PI but I am actually the research technician for this space.  What should I do?  </w:t>
      </w:r>
    </w:p>
    <w:p w:rsidR="00A772C8" w:rsidRPr="00A64091" w:rsidRDefault="00A772C8" w:rsidP="00A772C8">
      <w:pPr>
        <w:spacing w:after="0" w:line="240" w:lineRule="auto"/>
        <w:ind w:left="1080" w:hanging="720"/>
      </w:pPr>
      <w:r w:rsidRPr="00A64091">
        <w:tab/>
        <w:t xml:space="preserve">A research manager, senior graduate student, laboratory specialist, etc, can add themselves as “Lab Users” located at the bottom of the Laboratory Summary view.  Click on “Add User PID’s to Lab” and proceed to add those responsible for the space.  Note that all individuals added here will be able to modify inventory, space information, and add or delete associated personnel. </w:t>
      </w:r>
    </w:p>
    <w:p w:rsidR="00A64091" w:rsidRDefault="00A64091" w:rsidP="00A64091">
      <w:pPr>
        <w:pStyle w:val="ListParagraph"/>
        <w:numPr>
          <w:ilvl w:val="0"/>
          <w:numId w:val="1"/>
        </w:numPr>
        <w:spacing w:after="0" w:line="240" w:lineRule="auto"/>
      </w:pPr>
      <w:r>
        <w:t xml:space="preserve">How will participation be monitored?  </w:t>
      </w:r>
    </w:p>
    <w:p w:rsidR="00A772C8" w:rsidRPr="00A64091" w:rsidRDefault="00A772C8" w:rsidP="00A64091">
      <w:pPr>
        <w:spacing w:after="0" w:line="240" w:lineRule="auto"/>
        <w:ind w:left="1080" w:hanging="720"/>
      </w:pPr>
      <w:r w:rsidRPr="00A64091">
        <w:t xml:space="preserve">  </w:t>
      </w:r>
      <w:r w:rsidR="00A64091">
        <w:tab/>
        <w:t xml:space="preserve">EHS will be working with Department Heads, Directors, and other University Administrators to encourage and verify responses.  </w:t>
      </w:r>
    </w:p>
    <w:p w:rsidR="00A772C8" w:rsidRPr="00A64091" w:rsidRDefault="00A772C8" w:rsidP="00A64091">
      <w:pPr>
        <w:spacing w:after="0" w:line="240" w:lineRule="auto"/>
      </w:pPr>
      <w:r w:rsidRPr="00A64091">
        <w:br w:type="page"/>
      </w:r>
    </w:p>
    <w:p w:rsidR="00A772C8" w:rsidRDefault="00A772C8" w:rsidP="00A772C8">
      <w:pPr>
        <w:ind w:left="360"/>
      </w:pPr>
    </w:p>
    <w:p w:rsidR="00E66045" w:rsidRDefault="00536689" w:rsidP="00E66045">
      <w:pPr>
        <w:spacing w:after="0" w:line="240" w:lineRule="auto"/>
      </w:pPr>
      <w:r>
        <w:rPr>
          <w:noProof/>
        </w:rPr>
        <w:drawing>
          <wp:inline distT="0" distB="0" distL="0" distR="0">
            <wp:extent cx="3851910" cy="46831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53205" cy="4684701"/>
                    </a:xfrm>
                    <a:prstGeom prst="rect">
                      <a:avLst/>
                    </a:prstGeom>
                    <a:noFill/>
                    <a:ln w="9525">
                      <a:noFill/>
                      <a:miter lim="800000"/>
                      <a:headEnd/>
                      <a:tailEnd/>
                    </a:ln>
                  </pic:spPr>
                </pic:pic>
              </a:graphicData>
            </a:graphic>
          </wp:inline>
        </w:drawing>
      </w:r>
    </w:p>
    <w:sectPr w:rsidR="00E66045" w:rsidSect="0026323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88" w:rsidRDefault="00186F88" w:rsidP="00BB6205">
      <w:pPr>
        <w:spacing w:after="0" w:line="240" w:lineRule="auto"/>
      </w:pPr>
      <w:r>
        <w:separator/>
      </w:r>
    </w:p>
  </w:endnote>
  <w:endnote w:type="continuationSeparator" w:id="0">
    <w:p w:rsidR="00186F88" w:rsidRDefault="00186F88" w:rsidP="00BB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EB" w:rsidRDefault="001F3FEB">
    <w:pPr>
      <w:pStyle w:val="Footer"/>
    </w:pPr>
    <w:r>
      <w:ptab w:relativeTo="margin" w:alignment="right" w:leader="none"/>
    </w:r>
    <w:r>
      <w:t>9/2</w:t>
    </w:r>
    <w:r w:rsidR="00FC3F01">
      <w:t>8</w:t>
    </w:r>
    <w: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88" w:rsidRDefault="00186F88" w:rsidP="00BB6205">
      <w:pPr>
        <w:spacing w:after="0" w:line="240" w:lineRule="auto"/>
      </w:pPr>
      <w:r>
        <w:separator/>
      </w:r>
    </w:p>
  </w:footnote>
  <w:footnote w:type="continuationSeparator" w:id="0">
    <w:p w:rsidR="00186F88" w:rsidRDefault="00186F88" w:rsidP="00BB6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25C5C"/>
    <w:multiLevelType w:val="hybridMultilevel"/>
    <w:tmpl w:val="1EE2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809C4"/>
    <w:multiLevelType w:val="hybridMultilevel"/>
    <w:tmpl w:val="B7DC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40F5C"/>
    <w:multiLevelType w:val="hybridMultilevel"/>
    <w:tmpl w:val="97D4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567A1"/>
    <w:multiLevelType w:val="hybridMultilevel"/>
    <w:tmpl w:val="E09A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45"/>
    <w:rsid w:val="000B19E6"/>
    <w:rsid w:val="00186F88"/>
    <w:rsid w:val="001F3FEB"/>
    <w:rsid w:val="0026323D"/>
    <w:rsid w:val="00264B2A"/>
    <w:rsid w:val="002E5027"/>
    <w:rsid w:val="003C4A14"/>
    <w:rsid w:val="004C255B"/>
    <w:rsid w:val="004C26C4"/>
    <w:rsid w:val="00517102"/>
    <w:rsid w:val="00536689"/>
    <w:rsid w:val="005C4688"/>
    <w:rsid w:val="00602EE4"/>
    <w:rsid w:val="006E77D3"/>
    <w:rsid w:val="007078E7"/>
    <w:rsid w:val="007B592D"/>
    <w:rsid w:val="00886B1E"/>
    <w:rsid w:val="00926DAA"/>
    <w:rsid w:val="009749DB"/>
    <w:rsid w:val="00A64091"/>
    <w:rsid w:val="00A772C8"/>
    <w:rsid w:val="00AF590F"/>
    <w:rsid w:val="00B67693"/>
    <w:rsid w:val="00BB6205"/>
    <w:rsid w:val="00D171B7"/>
    <w:rsid w:val="00D46ED4"/>
    <w:rsid w:val="00D77354"/>
    <w:rsid w:val="00E66045"/>
    <w:rsid w:val="00FA350C"/>
    <w:rsid w:val="00FC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C0F65-5E7A-445E-94F2-47A61C81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45"/>
    <w:rPr>
      <w:color w:val="0000FF"/>
      <w:u w:val="single"/>
    </w:rPr>
  </w:style>
  <w:style w:type="paragraph" w:styleId="ListParagraph">
    <w:name w:val="List Paragraph"/>
    <w:basedOn w:val="Normal"/>
    <w:uiPriority w:val="34"/>
    <w:qFormat/>
    <w:rsid w:val="00E66045"/>
    <w:pPr>
      <w:ind w:left="720"/>
      <w:contextualSpacing/>
    </w:pPr>
  </w:style>
  <w:style w:type="paragraph" w:styleId="BalloonText">
    <w:name w:val="Balloon Text"/>
    <w:basedOn w:val="Normal"/>
    <w:link w:val="BalloonTextChar"/>
    <w:uiPriority w:val="99"/>
    <w:semiHidden/>
    <w:unhideWhenUsed/>
    <w:rsid w:val="00536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689"/>
    <w:rPr>
      <w:rFonts w:ascii="Tahoma" w:hAnsi="Tahoma" w:cs="Tahoma"/>
      <w:sz w:val="16"/>
      <w:szCs w:val="16"/>
    </w:rPr>
  </w:style>
  <w:style w:type="paragraph" w:styleId="NormalWeb">
    <w:name w:val="Normal (Web)"/>
    <w:basedOn w:val="Normal"/>
    <w:uiPriority w:val="99"/>
    <w:semiHidden/>
    <w:unhideWhenUsed/>
    <w:rsid w:val="004C255B"/>
    <w:pPr>
      <w:spacing w:before="36" w:after="156"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72C8"/>
    <w:rPr>
      <w:color w:val="800080" w:themeColor="followedHyperlink"/>
      <w:u w:val="single"/>
    </w:rPr>
  </w:style>
  <w:style w:type="paragraph" w:styleId="Header">
    <w:name w:val="header"/>
    <w:basedOn w:val="Normal"/>
    <w:link w:val="HeaderChar"/>
    <w:uiPriority w:val="99"/>
    <w:unhideWhenUsed/>
    <w:rsid w:val="00BB6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205"/>
  </w:style>
  <w:style w:type="paragraph" w:styleId="Footer">
    <w:name w:val="footer"/>
    <w:basedOn w:val="Normal"/>
    <w:link w:val="FooterChar"/>
    <w:uiPriority w:val="99"/>
    <w:unhideWhenUsed/>
    <w:rsid w:val="00BB6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19956">
      <w:bodyDiv w:val="1"/>
      <w:marLeft w:val="0"/>
      <w:marRight w:val="0"/>
      <w:marTop w:val="0"/>
      <w:marBottom w:val="0"/>
      <w:divBdr>
        <w:top w:val="none" w:sz="0" w:space="0" w:color="auto"/>
        <w:left w:val="none" w:sz="0" w:space="0" w:color="auto"/>
        <w:bottom w:val="none" w:sz="0" w:space="0" w:color="auto"/>
        <w:right w:val="none" w:sz="0" w:space="0" w:color="auto"/>
      </w:divBdr>
    </w:div>
    <w:div w:id="1140003745">
      <w:bodyDiv w:val="1"/>
      <w:marLeft w:val="0"/>
      <w:marRight w:val="0"/>
      <w:marTop w:val="0"/>
      <w:marBottom w:val="0"/>
      <w:divBdr>
        <w:top w:val="none" w:sz="0" w:space="0" w:color="auto"/>
        <w:left w:val="none" w:sz="0" w:space="0" w:color="auto"/>
        <w:bottom w:val="none" w:sz="0" w:space="0" w:color="auto"/>
        <w:right w:val="none" w:sz="0" w:space="0" w:color="auto"/>
      </w:divBdr>
    </w:div>
    <w:div w:id="1409621211">
      <w:bodyDiv w:val="1"/>
      <w:marLeft w:val="0"/>
      <w:marRight w:val="0"/>
      <w:marTop w:val="0"/>
      <w:marBottom w:val="0"/>
      <w:divBdr>
        <w:top w:val="none" w:sz="0" w:space="0" w:color="auto"/>
        <w:left w:val="none" w:sz="0" w:space="0" w:color="auto"/>
        <w:bottom w:val="none" w:sz="0" w:space="0" w:color="auto"/>
        <w:right w:val="none" w:sz="0" w:space="0" w:color="auto"/>
      </w:divBdr>
    </w:div>
    <w:div w:id="1989354627">
      <w:bodyDiv w:val="1"/>
      <w:marLeft w:val="0"/>
      <w:marRight w:val="0"/>
      <w:marTop w:val="0"/>
      <w:marBottom w:val="0"/>
      <w:divBdr>
        <w:top w:val="none" w:sz="0" w:space="0" w:color="auto"/>
        <w:left w:val="none" w:sz="0" w:space="0" w:color="auto"/>
        <w:bottom w:val="none" w:sz="0" w:space="0" w:color="auto"/>
        <w:right w:val="none" w:sz="0" w:space="0" w:color="auto"/>
      </w:divBdr>
    </w:div>
    <w:div w:id="2112583188">
      <w:bodyDiv w:val="1"/>
      <w:marLeft w:val="0"/>
      <w:marRight w:val="0"/>
      <w:marTop w:val="0"/>
      <w:marBottom w:val="0"/>
      <w:divBdr>
        <w:top w:val="none" w:sz="0" w:space="0" w:color="auto"/>
        <w:left w:val="none" w:sz="0" w:space="0" w:color="auto"/>
        <w:bottom w:val="none" w:sz="0" w:space="0" w:color="auto"/>
        <w:right w:val="none" w:sz="0" w:space="0" w:color="auto"/>
      </w:divBdr>
      <w:divsChild>
        <w:div w:id="1708409894">
          <w:marLeft w:val="0"/>
          <w:marRight w:val="0"/>
          <w:marTop w:val="0"/>
          <w:marBottom w:val="0"/>
          <w:divBdr>
            <w:top w:val="none" w:sz="0" w:space="0" w:color="auto"/>
            <w:left w:val="none" w:sz="0" w:space="0" w:color="auto"/>
            <w:bottom w:val="none" w:sz="0" w:space="0" w:color="auto"/>
            <w:right w:val="none" w:sz="0" w:space="0" w:color="auto"/>
          </w:divBdr>
          <w:divsChild>
            <w:div w:id="1453397450">
              <w:marLeft w:val="0"/>
              <w:marRight w:val="0"/>
              <w:marTop w:val="0"/>
              <w:marBottom w:val="0"/>
              <w:divBdr>
                <w:top w:val="none" w:sz="0" w:space="0" w:color="auto"/>
                <w:left w:val="none" w:sz="0" w:space="0" w:color="auto"/>
                <w:bottom w:val="none" w:sz="0" w:space="0" w:color="auto"/>
                <w:right w:val="none" w:sz="0" w:space="0" w:color="auto"/>
              </w:divBdr>
              <w:divsChild>
                <w:div w:id="444077874">
                  <w:marLeft w:val="0"/>
                  <w:marRight w:val="0"/>
                  <w:marTop w:val="0"/>
                  <w:marBottom w:val="0"/>
                  <w:divBdr>
                    <w:top w:val="none" w:sz="0" w:space="0" w:color="auto"/>
                    <w:left w:val="none" w:sz="0" w:space="0" w:color="auto"/>
                    <w:bottom w:val="none" w:sz="0" w:space="0" w:color="auto"/>
                    <w:right w:val="none" w:sz="0" w:space="0" w:color="auto"/>
                  </w:divBdr>
                  <w:divsChild>
                    <w:div w:id="2027243242">
                      <w:marLeft w:val="0"/>
                      <w:marRight w:val="0"/>
                      <w:marTop w:val="0"/>
                      <w:marBottom w:val="0"/>
                      <w:divBdr>
                        <w:top w:val="none" w:sz="0" w:space="0" w:color="auto"/>
                        <w:left w:val="none" w:sz="0" w:space="0" w:color="auto"/>
                        <w:bottom w:val="none" w:sz="0" w:space="0" w:color="auto"/>
                        <w:right w:val="none" w:sz="0" w:space="0" w:color="auto"/>
                      </w:divBdr>
                      <w:divsChild>
                        <w:div w:id="910231382">
                          <w:marLeft w:val="240"/>
                          <w:marRight w:val="0"/>
                          <w:marTop w:val="0"/>
                          <w:marBottom w:val="0"/>
                          <w:divBdr>
                            <w:top w:val="none" w:sz="0" w:space="0" w:color="auto"/>
                            <w:left w:val="none" w:sz="0" w:space="0" w:color="auto"/>
                            <w:bottom w:val="none" w:sz="0" w:space="0" w:color="auto"/>
                            <w:right w:val="none" w:sz="0" w:space="0" w:color="auto"/>
                          </w:divBdr>
                          <w:divsChild>
                            <w:div w:id="1664043094">
                              <w:marLeft w:val="0"/>
                              <w:marRight w:val="0"/>
                              <w:marTop w:val="0"/>
                              <w:marBottom w:val="0"/>
                              <w:divBdr>
                                <w:top w:val="none" w:sz="0" w:space="0" w:color="auto"/>
                                <w:left w:val="none" w:sz="0" w:space="0" w:color="auto"/>
                                <w:bottom w:val="none" w:sz="0" w:space="0" w:color="auto"/>
                                <w:right w:val="none" w:sz="0" w:space="0" w:color="auto"/>
                              </w:divBdr>
                              <w:divsChild>
                                <w:div w:id="3746505">
                                  <w:marLeft w:val="0"/>
                                  <w:marRight w:val="0"/>
                                  <w:marTop w:val="0"/>
                                  <w:marBottom w:val="0"/>
                                  <w:divBdr>
                                    <w:top w:val="none" w:sz="0" w:space="0" w:color="auto"/>
                                    <w:left w:val="none" w:sz="0" w:space="0" w:color="auto"/>
                                    <w:bottom w:val="none" w:sz="0" w:space="0" w:color="auto"/>
                                    <w:right w:val="none" w:sz="0" w:space="0" w:color="auto"/>
                                  </w:divBdr>
                                  <w:divsChild>
                                    <w:div w:id="384449387">
                                      <w:marLeft w:val="60"/>
                                      <w:marRight w:val="0"/>
                                      <w:marTop w:val="0"/>
                                      <w:marBottom w:val="48"/>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hosting.vt.edu/www.ehss.vt.edu/programs/ChemInventory/inventory_entry.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ss.vt.edu/detail_pages/document_details.php?document_id=49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odes.biz/ecodes_support/free_resources/Virginia2009/09Fire_Prevention/PDFs/Chapter%2027_Hazardous%20Materials-General%20Provisions.pdf" TargetMode="External"/><Relationship Id="rId4" Type="http://schemas.openxmlformats.org/officeDocument/2006/relationships/settings" Target="settings.xml"/><Relationship Id="rId9" Type="http://schemas.openxmlformats.org/officeDocument/2006/relationships/hyperlink" Target="https://secure.hosting.vt.edu/www.ehss.vt.edu/programs/ChemInventory/inventory_entry.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2C0AD-4670-40F4-B5FE-F6390880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Wakley</dc:creator>
  <cp:lastModifiedBy>Sidesmack</cp:lastModifiedBy>
  <cp:revision>2</cp:revision>
  <dcterms:created xsi:type="dcterms:W3CDTF">2014-06-04T01:24:00Z</dcterms:created>
  <dcterms:modified xsi:type="dcterms:W3CDTF">2014-06-04T01:24:00Z</dcterms:modified>
</cp:coreProperties>
</file>